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750E" w14:textId="6048D382"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155DFD">
        <w:rPr>
          <w:rFonts w:ascii="Arial" w:hAnsi="Arial" w:cs="Arial"/>
          <w:b/>
          <w:bCs/>
          <w:sz w:val="28"/>
        </w:rPr>
        <w:t>05448</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77777777" w:rsidR="00B60CFD" w:rsidRDefault="00B60CFD" w:rsidP="00B60CFD">
      <w:pPr>
        <w:spacing w:after="60"/>
        <w:ind w:left="1985" w:hanging="1985"/>
        <w:rPr>
          <w:rFonts w:ascii="Arial" w:hAnsi="Arial" w:cs="Arial"/>
          <w:bCs/>
        </w:rPr>
      </w:pPr>
      <w:r>
        <w:rPr>
          <w:rFonts w:ascii="Arial" w:hAnsi="Arial" w:cs="Arial"/>
          <w:b/>
        </w:rPr>
        <w:t>Title:</w:t>
      </w:r>
      <w:r>
        <w:rPr>
          <w:rFonts w:ascii="Arial" w:hAnsi="Arial" w:cs="Arial"/>
          <w:b/>
        </w:rPr>
        <w:tab/>
      </w:r>
      <w:r w:rsidRPr="00E37B9E">
        <w:rPr>
          <w:rFonts w:ascii="Arial" w:hAnsi="Arial" w:cs="Arial"/>
        </w:rPr>
        <w:t>Reply LS on power control for NR-DC</w:t>
      </w:r>
    </w:p>
    <w:p w14:paraId="4940AD2F" w14:textId="1F0B86A7" w:rsidR="00B60CFD" w:rsidRDefault="00B60CFD" w:rsidP="00B60CF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3030/R4-2206566)</w:t>
      </w:r>
      <w:r w:rsidRPr="00E763DE">
        <w:rPr>
          <w:rFonts w:ascii="Arial" w:hAnsi="Arial" w:cs="Arial"/>
        </w:rPr>
        <w:t xml:space="preserve"> </w:t>
      </w:r>
      <w:r w:rsidRPr="000F4503">
        <w:rPr>
          <w:rFonts w:ascii="Arial" w:hAnsi="Arial" w:cs="Arial"/>
          <w:bCs/>
        </w:rPr>
        <w:t>Further Reply LS on power control for NR-DC</w:t>
      </w:r>
    </w:p>
    <w:p w14:paraId="5140C99A" w14:textId="77777777" w:rsidR="00B60CFD" w:rsidRDefault="00B60CFD" w:rsidP="00B60CFD">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3D82F781" w14:textId="77777777" w:rsidR="00B60CFD" w:rsidRDefault="00B60CFD" w:rsidP="00B60CFD">
      <w:pPr>
        <w:spacing w:after="60"/>
        <w:ind w:left="1985" w:hanging="1985"/>
        <w:rPr>
          <w:rFonts w:ascii="Arial" w:hAnsi="Arial" w:cs="Arial"/>
          <w:bCs/>
        </w:rPr>
      </w:pPr>
      <w:r>
        <w:rPr>
          <w:rFonts w:ascii="Arial" w:hAnsi="Arial" w:cs="Arial"/>
          <w:b/>
        </w:rPr>
        <w:t>Work Item:</w:t>
      </w:r>
      <w:r>
        <w:rPr>
          <w:rFonts w:ascii="Arial" w:hAnsi="Arial" w:cs="Arial"/>
          <w:bCs/>
        </w:rPr>
        <w:tab/>
      </w:r>
      <w:r w:rsidRPr="000F4503">
        <w:rPr>
          <w:rFonts w:ascii="Arial" w:hAnsi="Arial" w:cs="Arial"/>
        </w:rPr>
        <w:t>LTE_NR_DC_CA_enh-Core</w:t>
      </w:r>
    </w:p>
    <w:p w14:paraId="645DF28B" w14:textId="77777777" w:rsidR="00B60CFD" w:rsidRDefault="00B60CFD" w:rsidP="00B60CFD">
      <w:pPr>
        <w:spacing w:after="60"/>
        <w:ind w:left="1985" w:hanging="1985"/>
        <w:rPr>
          <w:rFonts w:ascii="Arial" w:hAnsi="Arial" w:cs="Arial"/>
          <w:b/>
        </w:rPr>
      </w:pPr>
    </w:p>
    <w:p w14:paraId="032EA0CE" w14:textId="0F63FE67"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097B65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 RAN4</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6FEE4659" w:rsidR="00B60CFD" w:rsidRPr="00F53D19" w:rsidRDefault="00B60CFD" w:rsidP="00B60CFD">
      <w:pPr>
        <w:ind w:leftChars="200" w:left="400"/>
        <w:rPr>
          <w:rFonts w:ascii="Arial" w:hAnsi="Arial" w:cs="Arial"/>
          <w:bCs/>
        </w:rPr>
      </w:pPr>
      <w:r w:rsidRPr="00F53D19">
        <w:rPr>
          <w:rFonts w:ascii="Arial" w:hAnsi="Arial" w:cs="Arial"/>
          <w:bCs/>
        </w:rPr>
        <w:t xml:space="preserve">Name: </w:t>
      </w:r>
      <w:r>
        <w:rPr>
          <w:rFonts w:ascii="Arial" w:hAnsi="Arial" w:cs="Arial"/>
          <w:bCs/>
        </w:rPr>
        <w:t>Karri Ranta-aho</w:t>
      </w:r>
    </w:p>
    <w:p w14:paraId="6D738104" w14:textId="2C9CE989"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Pr>
          <w:rFonts w:ascii="Arial" w:hAnsi="Arial" w:cs="Arial"/>
          <w:bCs/>
        </w:rPr>
        <w:t>Karri.Ranta-aho@Nokia.com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6E054414" w:rsidR="00B60CFD" w:rsidRDefault="00B60CFD" w:rsidP="00B60CFD">
      <w:pPr>
        <w:pStyle w:val="Header"/>
        <w:spacing w:afterLines="50" w:after="120"/>
        <w:rPr>
          <w:rFonts w:cs="Arial"/>
        </w:rPr>
      </w:pPr>
      <w:r w:rsidRPr="009E3190">
        <w:rPr>
          <w:rFonts w:cs="Arial"/>
        </w:rPr>
        <w:t>RAN</w:t>
      </w:r>
      <w:r>
        <w:rPr>
          <w:rFonts w:cs="Arial"/>
        </w:rPr>
        <w:t>1</w:t>
      </w:r>
      <w:r w:rsidRPr="009E3190">
        <w:rPr>
          <w:rFonts w:cs="Arial"/>
        </w:rPr>
        <w:t xml:space="preserve"> would like to thank RAN</w:t>
      </w:r>
      <w:r>
        <w:rPr>
          <w:rFonts w:cs="Arial"/>
        </w:rPr>
        <w:t>4</w:t>
      </w:r>
      <w:r w:rsidRPr="009E3190">
        <w:rPr>
          <w:rFonts w:cs="Arial"/>
        </w:rPr>
        <w:t xml:space="preserve"> for the </w:t>
      </w:r>
      <w:r w:rsidRPr="000F4503">
        <w:rPr>
          <w:rFonts w:cs="Arial"/>
        </w:rPr>
        <w:t>Further Reply LS on power control for NR-DC</w:t>
      </w:r>
      <w:r>
        <w:rPr>
          <w:rFonts w:cs="Arial"/>
        </w:rPr>
        <w:t>. RAN1 discussed the issue in RAN1#109e meeting in May 2022.</w:t>
      </w:r>
      <w:r w:rsidR="004516B1">
        <w:rPr>
          <w:rFonts w:cs="Arial"/>
        </w:rPr>
        <w:t xml:space="preserve"> </w:t>
      </w:r>
      <w:r w:rsidR="004516B1" w:rsidRPr="004516B1">
        <w:rPr>
          <w:rFonts w:cs="Arial"/>
        </w:rPr>
        <w:t>There was no consensus in RAN1 to update the RAN1 specifications</w:t>
      </w:r>
      <w:r w:rsidR="004516B1">
        <w:rPr>
          <w:rFonts w:cs="Arial"/>
        </w:rPr>
        <w:t>.</w:t>
      </w:r>
    </w:p>
    <w:p w14:paraId="0665623A" w14:textId="39E53A97" w:rsidR="00B60CFD" w:rsidRPr="00B60CFD" w:rsidRDefault="00B60CFD" w:rsidP="00B60CFD">
      <w:pPr>
        <w:pStyle w:val="Header"/>
        <w:spacing w:afterLines="50" w:after="120"/>
        <w:rPr>
          <w:rFonts w:cs="Arial"/>
          <w:b/>
        </w:rPr>
      </w:pPr>
      <w:r>
        <w:rPr>
          <w:rFonts w:cs="Arial"/>
        </w:rPr>
        <w:t xml:space="preserve">RAN1 identified the need to update the descriptions of the NR dual-connectivity related UE capabilities as well as the 38.331 field description of </w:t>
      </w:r>
      <w:r>
        <w:rPr>
          <w:rFonts w:cs="Arial"/>
          <w:i/>
          <w:iCs/>
        </w:rPr>
        <w:t>p-NR-FR</w:t>
      </w:r>
      <w:r w:rsidR="004516B1">
        <w:rPr>
          <w:rFonts w:cs="Arial"/>
          <w:i/>
          <w:iCs/>
        </w:rPr>
        <w:t>2</w:t>
      </w:r>
      <w:r>
        <w:rPr>
          <w:rFonts w:cs="Arial"/>
        </w:rPr>
        <w:t xml:space="preserve"> to correctly reflect the specification support for NR dual connectivity. </w:t>
      </w:r>
    </w:p>
    <w:p w14:paraId="42D19021" w14:textId="77777777" w:rsidR="00B60CFD" w:rsidRDefault="00B60CFD" w:rsidP="00B60CFD">
      <w:pPr>
        <w:pStyle w:val="BodyText"/>
        <w:rPr>
          <w:highlight w:val="yellow"/>
        </w:rPr>
      </w:pPr>
    </w:p>
    <w:p w14:paraId="48D8298B" w14:textId="05EC0510" w:rsidR="00B60CFD" w:rsidRPr="00CF0F42" w:rsidRDefault="00B60CFD" w:rsidP="00B60CFD">
      <w:pPr>
        <w:pStyle w:val="BodyText"/>
      </w:pPr>
      <w:r w:rsidRPr="00CF0F42">
        <w:t xml:space="preserve">RAN1 requests RAN2 to modify the NR-DC power sharing mode </w:t>
      </w:r>
      <w:r w:rsidR="00CF0F42">
        <w:t xml:space="preserve">related capabilities </w:t>
      </w:r>
      <w:r w:rsidRPr="00CF0F42">
        <w:t>in TS38.306 (and potentially in TR38.822) as follows:</w:t>
      </w:r>
    </w:p>
    <w:p w14:paraId="27BE9C54" w14:textId="77777777" w:rsidR="00B60CFD" w:rsidRPr="00CF0F42" w:rsidRDefault="00B60CFD" w:rsidP="00B60CFD">
      <w:pPr>
        <w:pStyle w:val="BodyText"/>
        <w:numPr>
          <w:ilvl w:val="0"/>
          <w:numId w:val="42"/>
        </w:numPr>
      </w:pPr>
      <w:r w:rsidRPr="00CF0F42">
        <w:t xml:space="preserve">For capabilities </w:t>
      </w:r>
      <w:r w:rsidRPr="00CF0F42">
        <w:rPr>
          <w:i/>
          <w:iCs/>
        </w:rPr>
        <w:t>intraFR-NR-DC-PwrSharingMode1-r16</w:t>
      </w:r>
      <w:r w:rsidRPr="00CF0F42">
        <w:t xml:space="preserve">, </w:t>
      </w:r>
      <w:r w:rsidRPr="00CF0F42">
        <w:rPr>
          <w:i/>
          <w:iCs/>
        </w:rPr>
        <w:t>intraFR-NR-DC-PwrSharingMode2-r16</w:t>
      </w:r>
      <w:r w:rsidRPr="00CF0F42">
        <w:t xml:space="preserve"> and </w:t>
      </w:r>
      <w:r w:rsidRPr="00CF0F42">
        <w:rPr>
          <w:i/>
          <w:iCs/>
        </w:rPr>
        <w:t>intraFR-NR-DC-DynamicPwrSharing-r16</w:t>
      </w:r>
      <w:r w:rsidRPr="00CF0F42">
        <w:t xml:space="preserve"> (FGs 18-1/1a/1b):</w:t>
      </w:r>
    </w:p>
    <w:p w14:paraId="56800C65" w14:textId="77777777" w:rsidR="00B60CFD" w:rsidRPr="00CF0F42" w:rsidRDefault="00B60CFD" w:rsidP="00B60CFD">
      <w:pPr>
        <w:pStyle w:val="BodyText"/>
        <w:numPr>
          <w:ilvl w:val="1"/>
          <w:numId w:val="42"/>
        </w:numPr>
        <w:rPr>
          <w:b/>
          <w:bCs/>
          <w:u w:val="single"/>
        </w:rPr>
      </w:pPr>
      <w:r w:rsidRPr="00CF0F42">
        <w:t>In case MCG and/or SCG have cells in different frequency ranges, this FG indicates the capability of the power sharing only between those MCG and SCG cells with UL in FR1.</w:t>
      </w:r>
    </w:p>
    <w:p w14:paraId="03F0264D" w14:textId="0E0DDB67" w:rsidR="00B60CFD" w:rsidRPr="00CF0F42" w:rsidRDefault="00B60CFD" w:rsidP="00B60CFD">
      <w:pPr>
        <w:pStyle w:val="BodyText"/>
        <w:numPr>
          <w:ilvl w:val="0"/>
          <w:numId w:val="42"/>
        </w:numPr>
      </w:pPr>
      <w:r w:rsidRPr="00CF0F42">
        <w:t>Note: above clarification for FG18-1/1a/1b does not mean that Rel-16 Ues are mandated to support power sharing mechanisms like FG18-1/1a/1b for FR2-FR2 DC.</w:t>
      </w:r>
    </w:p>
    <w:p w14:paraId="44A6C663" w14:textId="4D159C7E" w:rsidR="00B60CFD" w:rsidRPr="00CF0F42" w:rsidRDefault="00B60CFD" w:rsidP="00B60CFD">
      <w:pPr>
        <w:pStyle w:val="BodyText"/>
      </w:pPr>
    </w:p>
    <w:p w14:paraId="51216BBC" w14:textId="4B5EA05C" w:rsidR="00B60CFD" w:rsidRPr="00CF0F42" w:rsidRDefault="00B60CFD" w:rsidP="00B60CFD">
      <w:pPr>
        <w:pStyle w:val="BodyText"/>
      </w:pPr>
      <w:r w:rsidRPr="00CF0F42">
        <w:t xml:space="preserve">RAN1 also requests RAN2 to add a note to the </w:t>
      </w:r>
      <w:r w:rsidRPr="00CF0F42">
        <w:rPr>
          <w:i/>
          <w:iCs/>
        </w:rPr>
        <w:t>p-NR-FR2</w:t>
      </w:r>
      <w:r w:rsidRPr="00CF0F42">
        <w:t xml:space="preserve"> field description </w:t>
      </w:r>
      <w:r w:rsidR="00CF0F42">
        <w:t>as follows:</w:t>
      </w:r>
    </w:p>
    <w:tbl>
      <w:tblPr>
        <w:tblStyle w:val="TableGrid"/>
        <w:tblW w:w="0" w:type="auto"/>
        <w:tblLook w:val="04A0" w:firstRow="1" w:lastRow="0" w:firstColumn="1" w:lastColumn="0" w:noHBand="0" w:noVBand="1"/>
      </w:tblPr>
      <w:tblGrid>
        <w:gridCol w:w="9855"/>
      </w:tblGrid>
      <w:tr w:rsidR="00CF0F42" w14:paraId="4B05E414" w14:textId="77777777" w:rsidTr="00CF0F42">
        <w:tc>
          <w:tcPr>
            <w:tcW w:w="9855" w:type="dxa"/>
          </w:tcPr>
          <w:p w14:paraId="1236761E" w14:textId="77777777" w:rsidR="00CF0F42" w:rsidRPr="00740BCD" w:rsidRDefault="00CF0F42" w:rsidP="00CF0F42">
            <w:pPr>
              <w:pStyle w:val="TAL"/>
              <w:rPr>
                <w:b/>
                <w:bCs/>
                <w:i/>
                <w:iCs/>
              </w:rPr>
            </w:pPr>
            <w:r w:rsidRPr="00740BCD">
              <w:rPr>
                <w:b/>
                <w:bCs/>
                <w:i/>
                <w:iCs/>
              </w:rPr>
              <w:t>p-NR-FR2</w:t>
            </w:r>
          </w:p>
          <w:p w14:paraId="753345B3" w14:textId="6BCEAACB" w:rsidR="00CF0F42" w:rsidRDefault="00CF0F42" w:rsidP="00CF0F42">
            <w:pPr>
              <w:pStyle w:val="BodyText"/>
              <w:rPr>
                <w:highlight w:val="yellow"/>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r w:rsidRPr="00740BCD">
              <w:rPr>
                <w:i/>
                <w:iCs/>
                <w:lang w:eastAsia="sv-SE"/>
              </w:rPr>
              <w:t>FrequencyInfoUL</w:t>
            </w:r>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r>
              <w:rPr>
                <w:lang w:val="en-US"/>
              </w:rPr>
              <w:t xml:space="preserve"> </w:t>
            </w:r>
            <w:r w:rsidRPr="00CF0F42">
              <w:rPr>
                <w:color w:val="C00000"/>
                <w:u w:val="single"/>
                <w:lang w:val="en-US"/>
              </w:rPr>
              <w:t>UE does not expect to be configured with this parameter in this release of the specification</w:t>
            </w:r>
            <w:r>
              <w:rPr>
                <w:color w:val="C00000"/>
                <w:u w:val="single"/>
                <w:lang w:val="en-US"/>
              </w:rPr>
              <w:t>.</w:t>
            </w:r>
          </w:p>
        </w:tc>
      </w:tr>
    </w:tbl>
    <w:p w14:paraId="4C2A3336" w14:textId="09FB8D37" w:rsidR="00CF0F42" w:rsidRDefault="00CF0F42"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2DB1D77C" w:rsidR="00B60CFD" w:rsidRPr="00361620" w:rsidRDefault="00B60CFD" w:rsidP="00B60CFD">
      <w:pPr>
        <w:spacing w:after="120"/>
        <w:ind w:left="993" w:hanging="993"/>
      </w:pPr>
      <w:r w:rsidRPr="00361620">
        <w:rPr>
          <w:b/>
        </w:rPr>
        <w:t xml:space="preserve">ACTION: </w:t>
      </w:r>
      <w:r>
        <w:rPr>
          <w:b/>
        </w:rPr>
        <w:tab/>
      </w:r>
      <w:r w:rsidRPr="00361620">
        <w:t>RAN</w:t>
      </w:r>
      <w:r>
        <w:t>1</w:t>
      </w:r>
      <w:r w:rsidRPr="00361620">
        <w:t xml:space="preserve"> respectfully asks RAN</w:t>
      </w:r>
      <w:r>
        <w:t>2</w:t>
      </w:r>
      <w:r w:rsidRPr="00361620">
        <w:t xml:space="preserve"> to take the above information into account</w:t>
      </w:r>
      <w:r>
        <w:t xml:space="preserve"> and update the specifications accordingly</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70FEE883" w:rsidR="00B60CFD" w:rsidRPr="00CF0F42" w:rsidRDefault="00B60CFD" w:rsidP="00CF0F42">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110</w:t>
      </w:r>
      <w:r w:rsidRPr="00C1442F">
        <w:rPr>
          <w:rFonts w:ascii="Arial" w:eastAsia="SimSun" w:hAnsi="Arial" w:cs="Arial"/>
          <w:bCs/>
        </w:rPr>
        <w:tab/>
      </w:r>
      <w:r>
        <w:rPr>
          <w:rFonts w:ascii="Arial" w:eastAsia="SimSun" w:hAnsi="Arial" w:cs="Arial"/>
          <w:bCs/>
        </w:rPr>
        <w:t>22</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26</w:t>
      </w:r>
      <w:r w:rsidRPr="00C1442F">
        <w:rPr>
          <w:rFonts w:ascii="Arial" w:eastAsia="SimSun" w:hAnsi="Arial" w:cs="Arial"/>
          <w:bCs/>
        </w:rPr>
        <w:t xml:space="preserve"> </w:t>
      </w:r>
      <w:r>
        <w:rPr>
          <w:rFonts w:ascii="Arial" w:eastAsia="SimSun" w:hAnsi="Arial" w:cs="Arial"/>
          <w:bCs/>
        </w:rPr>
        <w:t>August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Location TBC</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3364" w14:textId="77777777" w:rsidR="005671EF" w:rsidRDefault="005671EF">
      <w:r>
        <w:separator/>
      </w:r>
    </w:p>
  </w:endnote>
  <w:endnote w:type="continuationSeparator" w:id="0">
    <w:p w14:paraId="06968890" w14:textId="77777777" w:rsidR="005671EF" w:rsidRDefault="0056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759E5" w14:textId="77777777" w:rsidR="005671EF" w:rsidRDefault="005671EF">
      <w:r>
        <w:separator/>
      </w:r>
    </w:p>
  </w:footnote>
  <w:footnote w:type="continuationSeparator" w:id="0">
    <w:p w14:paraId="257989C1" w14:textId="77777777" w:rsidR="005671EF" w:rsidRDefault="00567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5DFD"/>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6B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1EF"/>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Karri</cp:lastModifiedBy>
  <cp:revision>3</cp:revision>
  <cp:lastPrinted>2013-04-01T04:20:00Z</cp:lastPrinted>
  <dcterms:created xsi:type="dcterms:W3CDTF">2022-05-16T06:48:00Z</dcterms:created>
  <dcterms:modified xsi:type="dcterms:W3CDTF">2022-05-17T12:15:00Z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